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4E" w:rsidRDefault="00871E4E" w:rsidP="00F75DA9">
      <w:pPr>
        <w:rPr>
          <w:rFonts w:ascii="Comic Sans MS" w:hAnsi="Comic Sans MS"/>
          <w:b/>
          <w:sz w:val="28"/>
          <w:szCs w:val="28"/>
        </w:rPr>
      </w:pPr>
      <w:r w:rsidRPr="00871E4E">
        <w:rPr>
          <w:rFonts w:ascii="Comic Sans MS" w:hAnsi="Comic Sans MS"/>
          <w:b/>
          <w:sz w:val="28"/>
          <w:szCs w:val="28"/>
        </w:rPr>
        <w:t>Chemistry Unit C1: Structures, Trends, Chemical Reactions, Quantitative Chemistry and Analysis</w:t>
      </w:r>
    </w:p>
    <w:p w:rsidR="005B2C62" w:rsidRPr="005B2C62" w:rsidRDefault="00E226CD" w:rsidP="00F75DA9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E226CD">
        <w:rPr>
          <w:rFonts w:ascii="Comic Sans MS" w:hAnsi="Comic Sans MS"/>
          <w:b/>
          <w:sz w:val="28"/>
          <w:szCs w:val="28"/>
        </w:rPr>
        <w:t>C1.3 Structures</w:t>
      </w:r>
    </w:p>
    <w:tbl>
      <w:tblPr>
        <w:tblpPr w:leftFromText="180" w:rightFromText="180" w:vertAnchor="text" w:horzAnchor="margin" w:tblpXSpec="center" w:tblpY="19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1"/>
        <w:gridCol w:w="850"/>
        <w:gridCol w:w="993"/>
      </w:tblGrid>
      <w:tr w:rsidR="00AB7B45" w:rsidRPr="00B6277A" w:rsidTr="00AB7B45">
        <w:tc>
          <w:tcPr>
            <w:tcW w:w="8222" w:type="dxa"/>
            <w:tcBorders>
              <w:bottom w:val="single" w:sz="4" w:space="0" w:color="000000"/>
            </w:tcBorders>
          </w:tcPr>
          <w:p w:rsidR="00AB7B45" w:rsidRPr="00B6277A" w:rsidRDefault="00AB7B45" w:rsidP="00B6277A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277A">
              <w:rPr>
                <w:rFonts w:ascii="Comic Sans MS" w:hAnsi="Comic Sans MS"/>
                <w:b/>
                <w:sz w:val="20"/>
                <w:szCs w:val="20"/>
              </w:rPr>
              <w:t xml:space="preserve">Content  - CCEA Double Award </w:t>
            </w:r>
            <w:r w:rsidR="00E226CD" w:rsidRPr="00B6277A">
              <w:rPr>
                <w:rFonts w:ascii="Comic Sans MS" w:hAnsi="Comic Sans MS"/>
                <w:b/>
                <w:sz w:val="20"/>
                <w:szCs w:val="20"/>
              </w:rPr>
              <w:t>Chemistry</w:t>
            </w:r>
            <w:r w:rsidRPr="00B6277A">
              <w:rPr>
                <w:rFonts w:ascii="Comic Sans MS" w:hAnsi="Comic Sans MS"/>
                <w:b/>
                <w:sz w:val="20"/>
                <w:szCs w:val="20"/>
              </w:rPr>
              <w:t xml:space="preserve"> 1 – Fort Hill Integrated College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92D050"/>
          </w:tcPr>
          <w:p w:rsidR="00AB7B45" w:rsidRPr="00B6277A" w:rsidRDefault="00AB7B45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B6277A">
              <w:rPr>
                <w:rFonts w:ascii="Comic Sans MS" w:hAnsi="Comic Sans MS"/>
                <w:sz w:val="20"/>
                <w:szCs w:val="20"/>
              </w:rPr>
              <w:t>Got it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C000"/>
          </w:tcPr>
          <w:p w:rsidR="00AB7B45" w:rsidRPr="00B6277A" w:rsidRDefault="00AB7B45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B6277A">
              <w:rPr>
                <w:rFonts w:ascii="Comic Sans MS" w:hAnsi="Comic Sans MS"/>
                <w:sz w:val="20"/>
                <w:szCs w:val="20"/>
              </w:rPr>
              <w:t>Nearly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0000"/>
          </w:tcPr>
          <w:p w:rsidR="00AB7B45" w:rsidRPr="00B6277A" w:rsidRDefault="00AB7B45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B6277A">
              <w:rPr>
                <w:rFonts w:ascii="Comic Sans MS" w:hAnsi="Comic Sans MS"/>
                <w:sz w:val="20"/>
                <w:szCs w:val="20"/>
              </w:rPr>
              <w:t>Haven’t a clue</w:t>
            </w:r>
          </w:p>
        </w:tc>
      </w:tr>
      <w:tr w:rsidR="00AB7B45" w:rsidRPr="00B6277A" w:rsidTr="00AB7B45">
        <w:tc>
          <w:tcPr>
            <w:tcW w:w="10916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:rsidR="00AB7B45" w:rsidRPr="00B6277A" w:rsidRDefault="00E226CD" w:rsidP="00B6277A">
            <w:pPr>
              <w:spacing w:line="360" w:lineRule="auto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6277A">
              <w:rPr>
                <w:rFonts w:ascii="Comic Sans MS" w:hAnsi="Comic Sans MS" w:cs="Garamond-Bold"/>
                <w:b/>
                <w:bCs/>
                <w:sz w:val="20"/>
                <w:szCs w:val="20"/>
                <w:lang w:eastAsia="en-GB"/>
              </w:rPr>
              <w:t>C1.3 Structures</w:t>
            </w:r>
          </w:p>
        </w:tc>
      </w:tr>
      <w:tr w:rsidR="00AB7B45" w:rsidRPr="00B6277A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AB7B45" w:rsidRPr="00B6277A" w:rsidRDefault="00B6277A" w:rsidP="00B6277A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6277A">
              <w:rPr>
                <w:rFonts w:ascii="Comic Sans MS" w:hAnsi="Comic Sans MS" w:cs="Arial"/>
                <w:b/>
                <w:sz w:val="20"/>
                <w:szCs w:val="20"/>
              </w:rPr>
              <w:t>Ionic structures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AB7B45" w:rsidRPr="00B6277A" w:rsidRDefault="00AB7B45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AB7B45" w:rsidRPr="00B6277A" w:rsidRDefault="00AB7B45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AB7B45" w:rsidRPr="00B6277A" w:rsidRDefault="00AB7B45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B6277A" w:rsidTr="00F14624">
        <w:tc>
          <w:tcPr>
            <w:tcW w:w="8222" w:type="dxa"/>
            <w:shd w:val="clear" w:color="auto" w:fill="auto"/>
          </w:tcPr>
          <w:p w:rsidR="00F14624" w:rsidRPr="00B6277A" w:rsidRDefault="00B6277A" w:rsidP="00B62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>use the accepted s</w:t>
            </w: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tructural model for giant ionic </w:t>
            </w: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>lattices to explain t</w:t>
            </w: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he physical properties of ionic </w:t>
            </w: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>substances such as sod</w:t>
            </w: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ium chloride, including melting </w:t>
            </w: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>point, boiling po</w:t>
            </w: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int and electrical conductivity </w:t>
            </w: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>(diagram of giant ionic lattice is not expected);</w:t>
            </w:r>
          </w:p>
        </w:tc>
        <w:tc>
          <w:tcPr>
            <w:tcW w:w="851" w:type="dxa"/>
            <w:shd w:val="clear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77A" w:rsidRPr="00B6277A" w:rsidTr="00F14624">
        <w:tc>
          <w:tcPr>
            <w:tcW w:w="8222" w:type="dxa"/>
            <w:shd w:val="clear" w:color="auto" w:fill="auto"/>
          </w:tcPr>
          <w:p w:rsidR="00B6277A" w:rsidRPr="00B6277A" w:rsidRDefault="00FE2BBF" w:rsidP="00B6277A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recall that most ionic compounds are soluble in water;</w:t>
            </w:r>
          </w:p>
        </w:tc>
        <w:tc>
          <w:tcPr>
            <w:tcW w:w="851" w:type="dxa"/>
            <w:shd w:val="clear" w:color="auto" w:fill="auto"/>
          </w:tcPr>
          <w:p w:rsidR="00B6277A" w:rsidRPr="00B6277A" w:rsidRDefault="00B6277A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6277A" w:rsidRPr="00B6277A" w:rsidRDefault="00B6277A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6277A" w:rsidRPr="00B6277A" w:rsidRDefault="00B6277A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B6277A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F14624" w:rsidRPr="00B6277A" w:rsidRDefault="00B6277A" w:rsidP="00B6277A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6277A">
              <w:rPr>
                <w:rFonts w:ascii="Comic Sans MS" w:hAnsi="Comic Sans MS"/>
                <w:b/>
                <w:sz w:val="20"/>
                <w:szCs w:val="20"/>
              </w:rPr>
              <w:t>Molecular</w:t>
            </w:r>
            <w:r w:rsidRPr="00B6277A">
              <w:rPr>
                <w:rFonts w:ascii="Comic Sans MS" w:hAnsi="Comic Sans MS"/>
                <w:b/>
                <w:sz w:val="20"/>
                <w:szCs w:val="20"/>
              </w:rPr>
              <w:t xml:space="preserve"> Covalent </w:t>
            </w:r>
            <w:r w:rsidRPr="00B6277A">
              <w:rPr>
                <w:rFonts w:ascii="Comic Sans MS" w:hAnsi="Comic Sans MS"/>
                <w:b/>
                <w:sz w:val="20"/>
                <w:szCs w:val="20"/>
              </w:rPr>
              <w:t>structures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B6277A" w:rsidTr="00F14624">
        <w:tc>
          <w:tcPr>
            <w:tcW w:w="8222" w:type="dxa"/>
            <w:shd w:val="clear" w:color="auto" w:fill="auto"/>
          </w:tcPr>
          <w:p w:rsidR="00F14624" w:rsidRPr="00B6277A" w:rsidRDefault="00FE2BBF" w:rsidP="00B62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use the accepted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structural model for molecular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covalent structures to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explain the physical properties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of molecular covalen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t structures such as iodine and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carbon dioxide, includi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ng melting point, boiling point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and electrical conductivity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>;</w:t>
            </w:r>
          </w:p>
        </w:tc>
        <w:tc>
          <w:tcPr>
            <w:tcW w:w="851" w:type="dxa"/>
            <w:shd w:val="clear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77A" w:rsidRPr="00B6277A" w:rsidTr="00F14624">
        <w:tc>
          <w:tcPr>
            <w:tcW w:w="8222" w:type="dxa"/>
            <w:shd w:val="clear" w:color="auto" w:fill="auto"/>
          </w:tcPr>
          <w:p w:rsidR="00B6277A" w:rsidRPr="00B6277A" w:rsidRDefault="00FE2BBF" w:rsidP="00B62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demonstrate knowl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edge and understanding that the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intermolecular forces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between covalent molecules are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weak force</w:t>
            </w:r>
            <w:r w:rsidR="00B6277A">
              <w:rPr>
                <w:rFonts w:ascii="Comic Sans MS" w:eastAsiaTheme="minorHAnsi" w:hAnsi="Comic Sans MS" w:cs="Calibri"/>
                <w:sz w:val="20"/>
                <w:szCs w:val="20"/>
              </w:rPr>
              <w:t>s called van der Waals’ forces;</w:t>
            </w:r>
          </w:p>
        </w:tc>
        <w:tc>
          <w:tcPr>
            <w:tcW w:w="851" w:type="dxa"/>
            <w:shd w:val="clear" w:color="auto" w:fill="auto"/>
          </w:tcPr>
          <w:p w:rsidR="00B6277A" w:rsidRPr="00B6277A" w:rsidRDefault="00B6277A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6277A" w:rsidRPr="00B6277A" w:rsidRDefault="00B6277A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6277A" w:rsidRPr="00B6277A" w:rsidRDefault="00B6277A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277A" w:rsidRPr="00B6277A" w:rsidTr="00F14624">
        <w:tc>
          <w:tcPr>
            <w:tcW w:w="8222" w:type="dxa"/>
            <w:shd w:val="clear" w:color="auto" w:fill="auto"/>
          </w:tcPr>
          <w:p w:rsidR="00B6277A" w:rsidRPr="00B6277A" w:rsidRDefault="00FE2BBF" w:rsidP="00B62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recall that many co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valent molecular substances are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insoluble in water;</w:t>
            </w:r>
          </w:p>
        </w:tc>
        <w:tc>
          <w:tcPr>
            <w:tcW w:w="851" w:type="dxa"/>
            <w:shd w:val="clear" w:color="auto" w:fill="auto"/>
          </w:tcPr>
          <w:p w:rsidR="00B6277A" w:rsidRPr="00B6277A" w:rsidRDefault="00B6277A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6277A" w:rsidRPr="00B6277A" w:rsidRDefault="00B6277A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6277A" w:rsidRPr="00B6277A" w:rsidRDefault="00B6277A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B6277A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F14624" w:rsidRPr="00B6277A" w:rsidRDefault="00B6277A" w:rsidP="00B6277A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6277A">
              <w:rPr>
                <w:rFonts w:ascii="Comic Sans MS" w:hAnsi="Comic Sans MS"/>
                <w:b/>
                <w:sz w:val="20"/>
                <w:szCs w:val="20"/>
              </w:rPr>
              <w:t xml:space="preserve">Giant covalent </w:t>
            </w:r>
            <w:r w:rsidRPr="00B6277A">
              <w:rPr>
                <w:rFonts w:ascii="Comic Sans MS" w:hAnsi="Comic Sans MS"/>
                <w:b/>
                <w:sz w:val="20"/>
                <w:szCs w:val="20"/>
              </w:rPr>
              <w:t>structures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B6277A" w:rsidTr="00F14624">
        <w:tc>
          <w:tcPr>
            <w:tcW w:w="8222" w:type="dxa"/>
            <w:shd w:val="clear" w:color="auto" w:fill="auto"/>
          </w:tcPr>
          <w:p w:rsidR="00B6277A" w:rsidRPr="00B6277A" w:rsidRDefault="00FE2BBF" w:rsidP="00B62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demonstrate kno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wledge and understanding of the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giant covalent st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ructure of carbon (diamond) and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carbon (graphite)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, and predict and explain their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physical properties, including:</w:t>
            </w:r>
          </w:p>
          <w:p w:rsidR="00B6277A" w:rsidRPr="00B6277A" w:rsidRDefault="00B6277A" w:rsidP="00B627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>electrical conductivity;</w:t>
            </w:r>
          </w:p>
          <w:p w:rsidR="00B6277A" w:rsidRPr="00B6277A" w:rsidRDefault="00B6277A" w:rsidP="00B627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>hardness;</w:t>
            </w:r>
          </w:p>
          <w:p w:rsidR="00B6277A" w:rsidRPr="00B6277A" w:rsidRDefault="00B6277A" w:rsidP="00B627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>melting point and boiling point; and</w:t>
            </w:r>
          </w:p>
          <w:p w:rsidR="00F14624" w:rsidRPr="00B6277A" w:rsidRDefault="00B6277A" w:rsidP="00B627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>their uses in cutting tools (diamond), lubricants and</w:t>
            </w: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>pencils (graphite);</w:t>
            </w:r>
          </w:p>
        </w:tc>
        <w:tc>
          <w:tcPr>
            <w:tcW w:w="851" w:type="dxa"/>
            <w:shd w:val="clear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B6277A" w:rsidTr="00AB7B45">
        <w:tc>
          <w:tcPr>
            <w:tcW w:w="8222" w:type="dxa"/>
            <w:shd w:val="pct5" w:color="auto" w:fill="auto"/>
          </w:tcPr>
          <w:p w:rsidR="00F14624" w:rsidRPr="00B6277A" w:rsidRDefault="00B6277A" w:rsidP="00B6277A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6277A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Metallic </w:t>
            </w:r>
            <w:r w:rsidRPr="00B6277A">
              <w:rPr>
                <w:rFonts w:ascii="Comic Sans MS" w:hAnsi="Comic Sans MS"/>
                <w:b/>
                <w:sz w:val="20"/>
                <w:szCs w:val="20"/>
              </w:rPr>
              <w:t>structures</w:t>
            </w:r>
          </w:p>
        </w:tc>
        <w:tc>
          <w:tcPr>
            <w:tcW w:w="851" w:type="dxa"/>
            <w:shd w:val="pct5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pct5" w:color="auto" w:fill="auto"/>
          </w:tcPr>
          <w:p w:rsidR="00F14624" w:rsidRPr="00B6277A" w:rsidRDefault="00F14624" w:rsidP="00B6277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B6277A" w:rsidTr="0056513A">
        <w:tc>
          <w:tcPr>
            <w:tcW w:w="8222" w:type="dxa"/>
            <w:shd w:val="clear" w:color="auto" w:fill="FFFFFF" w:themeFill="background1"/>
          </w:tcPr>
          <w:p w:rsidR="00F14624" w:rsidRPr="00B6277A" w:rsidRDefault="00FE2BBF" w:rsidP="00B62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</w:pPr>
            <w:r w:rsidRPr="00FE2BBF">
              <w:rPr>
                <w:rFonts w:ascii="Comic Sans MS" w:eastAsiaTheme="minorHAnsi" w:hAnsi="Comic Sans MS" w:cs="Calibri"/>
                <w:b/>
                <w:sz w:val="20"/>
                <w:szCs w:val="20"/>
              </w:rPr>
              <w:t>Can you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="00B6277A" w:rsidRPr="00B6277A"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  <w:t>use the accepted structural model for metals to predict and explain their structure and physical properties including melting point, malleability, ductility and electrical conductivity.</w:t>
            </w:r>
          </w:p>
        </w:tc>
        <w:tc>
          <w:tcPr>
            <w:tcW w:w="851" w:type="dxa"/>
            <w:shd w:val="clear" w:color="auto" w:fill="FFFFFF" w:themeFill="background1"/>
          </w:tcPr>
          <w:p w:rsidR="00F14624" w:rsidRPr="00B6277A" w:rsidRDefault="00F14624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14624" w:rsidRPr="00B6277A" w:rsidRDefault="00F14624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14624" w:rsidRPr="00B6277A" w:rsidRDefault="00F14624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</w:tr>
      <w:tr w:rsidR="00B6277A" w:rsidRPr="00B6277A" w:rsidTr="0056513A">
        <w:tc>
          <w:tcPr>
            <w:tcW w:w="8222" w:type="dxa"/>
            <w:shd w:val="clear" w:color="auto" w:fill="FFFFFF" w:themeFill="background1"/>
          </w:tcPr>
          <w:p w:rsidR="00B6277A" w:rsidRPr="00B6277A" w:rsidRDefault="00FE2BBF" w:rsidP="00B62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demonstrate knowledge and understanding that an alloy is a mixture of two or more elements, at least one of which is a metal, and the resulting mixture has</w:t>
            </w:r>
          </w:p>
          <w:p w:rsidR="00B6277A" w:rsidRPr="00B6277A" w:rsidRDefault="00B6277A" w:rsidP="00B62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B6277A">
              <w:rPr>
                <w:rFonts w:ascii="Comic Sans MS" w:eastAsiaTheme="minorHAnsi" w:hAnsi="Comic Sans MS" w:cs="Calibri"/>
                <w:sz w:val="20"/>
                <w:szCs w:val="20"/>
              </w:rPr>
              <w:t>metallic properties;</w:t>
            </w:r>
          </w:p>
        </w:tc>
        <w:tc>
          <w:tcPr>
            <w:tcW w:w="851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</w:tr>
      <w:tr w:rsidR="00B6277A" w:rsidRPr="00B6277A" w:rsidTr="00B6277A">
        <w:tc>
          <w:tcPr>
            <w:tcW w:w="8222" w:type="dxa"/>
            <w:shd w:val="clear" w:color="auto" w:fill="F2F2F2" w:themeFill="background1" w:themeFillShade="F2"/>
          </w:tcPr>
          <w:p w:rsidR="00B6277A" w:rsidRPr="00B6277A" w:rsidRDefault="00B6277A" w:rsidP="00B62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</w:pPr>
            <w:r w:rsidRPr="00B6277A"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  <w:t>Structure and bonding of carbon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</w:tr>
      <w:tr w:rsidR="00B6277A" w:rsidRPr="00B6277A" w:rsidTr="0056513A">
        <w:tc>
          <w:tcPr>
            <w:tcW w:w="8222" w:type="dxa"/>
            <w:shd w:val="clear" w:color="auto" w:fill="FFFFFF" w:themeFill="background1"/>
          </w:tcPr>
          <w:p w:rsidR="00B6277A" w:rsidRPr="00B6277A" w:rsidRDefault="00FE2BBF" w:rsidP="00FE2BBF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demonstrate 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>recall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that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carbon can form four covale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nt bonds;</w:t>
            </w:r>
          </w:p>
        </w:tc>
        <w:tc>
          <w:tcPr>
            <w:tcW w:w="851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</w:tr>
      <w:tr w:rsidR="00B6277A" w:rsidRPr="00B6277A" w:rsidTr="0056513A">
        <w:tc>
          <w:tcPr>
            <w:tcW w:w="8222" w:type="dxa"/>
            <w:shd w:val="clear" w:color="auto" w:fill="FFFFFF" w:themeFill="background1"/>
          </w:tcPr>
          <w:p w:rsidR="00B6277A" w:rsidRPr="00B6277A" w:rsidRDefault="00FE2BBF" w:rsidP="00B62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demonstrate kno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wledge and understanding of the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structure of graphen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e (a single atom thick layer of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graphite), explain its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physical properties, including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strength and electrical co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nductivity, and recall its uses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such as thos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e in batteries and solar cells;</w:t>
            </w:r>
          </w:p>
        </w:tc>
        <w:tc>
          <w:tcPr>
            <w:tcW w:w="851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</w:tr>
      <w:tr w:rsidR="00B6277A" w:rsidRPr="00B6277A" w:rsidTr="0056513A">
        <w:tc>
          <w:tcPr>
            <w:tcW w:w="8222" w:type="dxa"/>
            <w:shd w:val="clear" w:color="auto" w:fill="FFFFFF" w:themeFill="background1"/>
          </w:tcPr>
          <w:p w:rsidR="00B6277A" w:rsidRPr="00B6277A" w:rsidRDefault="00FE2BBF" w:rsidP="00B62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demonstrate kno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wledge and understanding of the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meaning of the term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allotrope as applied to carbon </w:t>
            </w:r>
            <w:r w:rsidR="00B6277A" w:rsidRPr="00B6277A">
              <w:rPr>
                <w:rFonts w:ascii="Comic Sans MS" w:eastAsiaTheme="minorHAnsi" w:hAnsi="Comic Sans MS" w:cs="Calibri"/>
                <w:sz w:val="20"/>
                <w:szCs w:val="20"/>
              </w:rPr>
              <w:t>(diamond), carbon (graphite) and graphene; and</w:t>
            </w:r>
          </w:p>
        </w:tc>
        <w:tc>
          <w:tcPr>
            <w:tcW w:w="851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</w:tr>
      <w:tr w:rsidR="00B6277A" w:rsidRPr="00B6277A" w:rsidTr="00B6277A">
        <w:tc>
          <w:tcPr>
            <w:tcW w:w="8222" w:type="dxa"/>
            <w:shd w:val="clear" w:color="auto" w:fill="F2F2F2" w:themeFill="background1" w:themeFillShade="F2"/>
          </w:tcPr>
          <w:p w:rsidR="00B6277A" w:rsidRPr="00B6277A" w:rsidRDefault="00B6277A" w:rsidP="00B62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</w:pPr>
            <w:r w:rsidRPr="00B6277A"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  <w:t>Classification of structures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</w:tr>
      <w:tr w:rsidR="00B6277A" w:rsidRPr="00B6277A" w:rsidTr="0056513A">
        <w:tc>
          <w:tcPr>
            <w:tcW w:w="8222" w:type="dxa"/>
            <w:shd w:val="clear" w:color="auto" w:fill="FFFFFF" w:themeFill="background1"/>
          </w:tcPr>
          <w:p w:rsidR="00B6277A" w:rsidRPr="00B6277A" w:rsidRDefault="00FE2BBF" w:rsidP="00B62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</w:pPr>
            <w:bookmarkStart w:id="0" w:name="_GoBack"/>
            <w:r w:rsidRPr="00FE2BBF">
              <w:rPr>
                <w:rFonts w:ascii="Comic Sans MS" w:eastAsiaTheme="minorHAnsi" w:hAnsi="Comic Sans MS" w:cs="Calibri"/>
                <w:b/>
                <w:sz w:val="20"/>
                <w:szCs w:val="20"/>
              </w:rPr>
              <w:t>Can you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bookmarkEnd w:id="0"/>
            <w:r w:rsidR="00B6277A" w:rsidRPr="00B6277A"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  <w:t>use given information to classify the structure of substances as giant ionic lattice, molecular covalent, giant covalent or metallic.</w:t>
            </w:r>
          </w:p>
        </w:tc>
        <w:tc>
          <w:tcPr>
            <w:tcW w:w="851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6277A" w:rsidRPr="00B6277A" w:rsidRDefault="00B6277A" w:rsidP="00B6277A">
            <w:pPr>
              <w:spacing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</w:tr>
    </w:tbl>
    <w:p w:rsidR="00E2033F" w:rsidRDefault="00E2033F"/>
    <w:p w:rsidR="00AB7B45" w:rsidRDefault="00AB7B45"/>
    <w:sectPr w:rsidR="00AB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D88"/>
    <w:multiLevelType w:val="hybridMultilevel"/>
    <w:tmpl w:val="7B668FF2"/>
    <w:lvl w:ilvl="0" w:tplc="D9DEAF9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0F6F"/>
    <w:multiLevelType w:val="hybridMultilevel"/>
    <w:tmpl w:val="0D1E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601C"/>
    <w:multiLevelType w:val="hybridMultilevel"/>
    <w:tmpl w:val="C4E8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45"/>
    <w:rsid w:val="00337752"/>
    <w:rsid w:val="00376BDD"/>
    <w:rsid w:val="003830EA"/>
    <w:rsid w:val="003C52B0"/>
    <w:rsid w:val="004B0A6E"/>
    <w:rsid w:val="0056513A"/>
    <w:rsid w:val="005B2C62"/>
    <w:rsid w:val="00871E4E"/>
    <w:rsid w:val="009A6649"/>
    <w:rsid w:val="009B6258"/>
    <w:rsid w:val="00AB7B45"/>
    <w:rsid w:val="00B46DE5"/>
    <w:rsid w:val="00B6277A"/>
    <w:rsid w:val="00D26134"/>
    <w:rsid w:val="00DA2EBF"/>
    <w:rsid w:val="00E16D03"/>
    <w:rsid w:val="00E2033F"/>
    <w:rsid w:val="00E226CD"/>
    <w:rsid w:val="00F14624"/>
    <w:rsid w:val="00F75DA9"/>
    <w:rsid w:val="00F847A6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4BD0"/>
  <w15:docId w15:val="{69AC7BF5-73F2-4849-8131-EE7B146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3943DC6D</Template>
  <TotalTime>14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RICHARDSON</dc:creator>
  <cp:lastModifiedBy>A RICHARDSON</cp:lastModifiedBy>
  <cp:revision>4</cp:revision>
  <cp:lastPrinted>2017-06-26T10:48:00Z</cp:lastPrinted>
  <dcterms:created xsi:type="dcterms:W3CDTF">2017-06-29T13:40:00Z</dcterms:created>
  <dcterms:modified xsi:type="dcterms:W3CDTF">2017-06-29T14:47:00Z</dcterms:modified>
</cp:coreProperties>
</file>