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4E" w:rsidRDefault="00871E4E" w:rsidP="00F75DA9">
      <w:pPr>
        <w:rPr>
          <w:rFonts w:ascii="Comic Sans MS" w:hAnsi="Comic Sans MS"/>
          <w:b/>
          <w:sz w:val="28"/>
          <w:szCs w:val="28"/>
        </w:rPr>
      </w:pPr>
      <w:r w:rsidRPr="00871E4E">
        <w:rPr>
          <w:rFonts w:ascii="Comic Sans MS" w:hAnsi="Comic Sans MS"/>
          <w:b/>
          <w:sz w:val="28"/>
          <w:szCs w:val="28"/>
        </w:rPr>
        <w:t>Chemistry Unit C1: Structures, Trends, Chemical Reactions, Quantitative Chemistry and Analysis</w:t>
      </w:r>
    </w:p>
    <w:p w:rsidR="005B2C62" w:rsidRPr="005B2C62" w:rsidRDefault="00314659" w:rsidP="00F75DA9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314659">
        <w:rPr>
          <w:rFonts w:ascii="Comic Sans MS" w:hAnsi="Comic Sans MS"/>
          <w:b/>
          <w:sz w:val="28"/>
          <w:szCs w:val="28"/>
        </w:rPr>
        <w:t>C1.9 Chemical Analysis</w:t>
      </w:r>
    </w:p>
    <w:tbl>
      <w:tblPr>
        <w:tblpPr w:leftFromText="180" w:rightFromText="180" w:vertAnchor="text" w:horzAnchor="margin" w:tblpXSpec="center" w:tblpY="19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850"/>
        <w:gridCol w:w="993"/>
      </w:tblGrid>
      <w:tr w:rsidR="00AB7B45" w:rsidRPr="00D25B1F" w:rsidTr="00AB7B45">
        <w:tc>
          <w:tcPr>
            <w:tcW w:w="8222" w:type="dxa"/>
            <w:tcBorders>
              <w:bottom w:val="single" w:sz="4" w:space="0" w:color="000000"/>
            </w:tcBorders>
          </w:tcPr>
          <w:p w:rsidR="00AB7B45" w:rsidRPr="00D25B1F" w:rsidRDefault="00AB7B45" w:rsidP="00D26134">
            <w:pPr>
              <w:spacing w:line="36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B1F">
              <w:rPr>
                <w:rFonts w:ascii="Comic Sans MS" w:hAnsi="Comic Sans MS"/>
                <w:b/>
                <w:sz w:val="20"/>
                <w:szCs w:val="20"/>
              </w:rPr>
              <w:t xml:space="preserve">Content  - CCEA Double Award </w:t>
            </w:r>
            <w:r w:rsidR="00BB3728" w:rsidRPr="00D25B1F">
              <w:rPr>
                <w:rFonts w:ascii="Comic Sans MS" w:hAnsi="Comic Sans MS"/>
                <w:b/>
                <w:sz w:val="20"/>
                <w:szCs w:val="20"/>
              </w:rPr>
              <w:t xml:space="preserve">Chemistry </w:t>
            </w:r>
            <w:r w:rsidRPr="00D25B1F">
              <w:rPr>
                <w:rFonts w:ascii="Comic Sans MS" w:hAnsi="Comic Sans MS"/>
                <w:b/>
                <w:sz w:val="20"/>
                <w:szCs w:val="20"/>
              </w:rPr>
              <w:t>1 – Fort Hill Integrated College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2D050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25B1F">
              <w:rPr>
                <w:rFonts w:ascii="Comic Sans MS" w:hAnsi="Comic Sans MS"/>
                <w:sz w:val="20"/>
                <w:szCs w:val="20"/>
              </w:rPr>
              <w:t>Got it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C000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25B1F">
              <w:rPr>
                <w:rFonts w:ascii="Comic Sans MS" w:hAnsi="Comic Sans MS"/>
                <w:sz w:val="20"/>
                <w:szCs w:val="20"/>
              </w:rPr>
              <w:t>Nearly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0000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D25B1F">
              <w:rPr>
                <w:rFonts w:ascii="Comic Sans MS" w:hAnsi="Comic Sans MS"/>
                <w:sz w:val="20"/>
                <w:szCs w:val="20"/>
              </w:rPr>
              <w:t>Haven’t a clue</w:t>
            </w:r>
          </w:p>
        </w:tc>
      </w:tr>
      <w:tr w:rsidR="00AB7B45" w:rsidRPr="00D25B1F" w:rsidTr="00AB7B45">
        <w:tc>
          <w:tcPr>
            <w:tcW w:w="10916" w:type="dxa"/>
            <w:gridSpan w:val="4"/>
            <w:tcBorders>
              <w:bottom w:val="single" w:sz="4" w:space="0" w:color="000000"/>
            </w:tcBorders>
            <w:shd w:val="pct15" w:color="auto" w:fill="auto"/>
          </w:tcPr>
          <w:p w:rsidR="00AB7B45" w:rsidRPr="00D25B1F" w:rsidRDefault="00314659" w:rsidP="00D26134">
            <w:pPr>
              <w:spacing w:line="360" w:lineRule="auto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D25B1F">
              <w:rPr>
                <w:rFonts w:ascii="Comic Sans MS" w:hAnsi="Comic Sans MS" w:cs="Garamond-Bold"/>
                <w:b/>
                <w:bCs/>
                <w:sz w:val="20"/>
                <w:szCs w:val="20"/>
                <w:lang w:eastAsia="en-GB"/>
              </w:rPr>
              <w:t>C1.9 Chemical Analysis</w:t>
            </w:r>
          </w:p>
        </w:tc>
      </w:tr>
      <w:tr w:rsidR="00AB7B45" w:rsidRPr="00D25B1F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AB7B45" w:rsidRPr="00D25B1F" w:rsidRDefault="003324D9" w:rsidP="003324D9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25B1F">
              <w:rPr>
                <w:rFonts w:ascii="Comic Sans MS" w:hAnsi="Comic Sans MS" w:cs="Arial"/>
                <w:b/>
                <w:bCs/>
                <w:sz w:val="20"/>
                <w:szCs w:val="20"/>
              </w:rPr>
              <w:t>Assessing purity and separating mixtures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AB7B45" w:rsidRPr="00D25B1F" w:rsidRDefault="00AB7B45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D25B1F" w:rsidTr="00F14624">
        <w:tc>
          <w:tcPr>
            <w:tcW w:w="8222" w:type="dxa"/>
            <w:shd w:val="clear" w:color="auto" w:fill="auto"/>
          </w:tcPr>
          <w:p w:rsidR="00F14624" w:rsidRPr="00D25B1F" w:rsidRDefault="00D25B1F" w:rsidP="00D25B1F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recall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that a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pure substance is a single element or compound not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mixed with any other substance;</w:t>
            </w:r>
          </w:p>
        </w:tc>
        <w:tc>
          <w:tcPr>
            <w:tcW w:w="851" w:type="dxa"/>
            <w:shd w:val="clear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D25B1F" w:rsidP="00D25B1F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demonstrate </w:t>
            </w:r>
            <w:r>
              <w:rPr>
                <w:rFonts w:ascii="Comic Sans MS" w:hAnsi="Comic Sans MS" w:cs="Arial"/>
                <w:sz w:val="20"/>
                <w:szCs w:val="20"/>
              </w:rPr>
              <w:t>recall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 that pure elements and compounds melt and boil at specific temperatures and melting point and boiling point can be used to distinguish pure substances from mixtures;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D25B1F" w:rsidP="00D2613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demonstrate knowledge and understanding that a formulation is a mixture that has been designed as a useful product and is formed by mixing together several different substances in carefully measured quantities to ensure the product has the required properties, for example alloys, medicines and fertilisers;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D25B1F" w:rsidP="00EA562C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EA562C">
              <w:rPr>
                <w:rFonts w:ascii="Comic Sans MS" w:hAnsi="Comic Sans MS" w:cs="Arial"/>
                <w:sz w:val="20"/>
                <w:szCs w:val="20"/>
              </w:rPr>
              <w:t>identify and define the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 terms soluble, insoluble, solute, solvent, solution, residue, filtrate, distillate, miscible, immiscible, evaporation and condensation;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3324D9" w:rsidP="00D2613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25B1F">
              <w:rPr>
                <w:rFonts w:ascii="Comic Sans MS" w:hAnsi="Comic Sans MS" w:cs="Arial"/>
                <w:sz w:val="20"/>
                <w:szCs w:val="20"/>
              </w:rPr>
              <w:t>investigate practically how mixtures can be separated using filtration, crystallisation, paper chromatography, simple distillation or fractional distillation (including</w:t>
            </w:r>
            <w:r w:rsidRPr="00D25B1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25B1F">
              <w:rPr>
                <w:rFonts w:ascii="Comic Sans MS" w:hAnsi="Comic Sans MS" w:cs="Arial"/>
                <w:sz w:val="20"/>
                <w:szCs w:val="20"/>
              </w:rPr>
              <w:t>using fractional distillation in the laboratory to separate miscible liquids, for example ethanol and water);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EA562C" w:rsidP="003324D9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describe paper chromatography as the separation of mixtures of soluble substances by running a solvent (mobile phase) through the mixture on the paper (stationary phase), which causes the substances to move at different rates over the paper; and</w:t>
            </w:r>
          </w:p>
          <w:p w:rsidR="003324D9" w:rsidRPr="00D25B1F" w:rsidRDefault="00EA562C" w:rsidP="00D26134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Can you 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 xml:space="preserve">interpret a paper chromatogram </w:t>
            </w:r>
            <w:r w:rsidR="003324D9" w:rsidRPr="00D25B1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including calculating </w:t>
            </w:r>
            <w:proofErr w:type="spellStart"/>
            <w:r w:rsidR="003324D9" w:rsidRPr="00D25B1F">
              <w:rPr>
                <w:rFonts w:ascii="Comic Sans MS" w:hAnsi="Comic Sans MS" w:cs="Arial"/>
                <w:b/>
                <w:bCs/>
                <w:sz w:val="20"/>
                <w:szCs w:val="20"/>
              </w:rPr>
              <w:t>Rf</w:t>
            </w:r>
            <w:proofErr w:type="spellEnd"/>
            <w:r w:rsidR="003324D9" w:rsidRPr="00D25B1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values</w:t>
            </w:r>
            <w:r w:rsidR="003324D9" w:rsidRPr="00D25B1F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EA562C" w:rsidP="003324D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analyse given data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on mixtures to make judgements 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on the most effective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methods of separation and plan 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experiments to carry out this separation;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324D9" w:rsidRPr="00D25B1F" w:rsidTr="00F14624">
        <w:tc>
          <w:tcPr>
            <w:tcW w:w="8222" w:type="dxa"/>
            <w:shd w:val="clear" w:color="auto" w:fill="auto"/>
          </w:tcPr>
          <w:p w:rsidR="003324D9" w:rsidRPr="00D25B1F" w:rsidRDefault="00EA562C" w:rsidP="003324D9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describe how to </w:t>
            </w:r>
            <w:r w:rsidR="003324D9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use anhydrous copper(II) sulfate to test for water;</w:t>
            </w:r>
          </w:p>
        </w:tc>
        <w:tc>
          <w:tcPr>
            <w:tcW w:w="851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24D9" w:rsidRPr="00D25B1F" w:rsidRDefault="003324D9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D25B1F" w:rsidTr="00F14624">
        <w:tc>
          <w:tcPr>
            <w:tcW w:w="8222" w:type="dxa"/>
            <w:tcBorders>
              <w:bottom w:val="single" w:sz="4" w:space="0" w:color="000000"/>
            </w:tcBorders>
            <w:shd w:val="pct5" w:color="auto" w:fill="auto"/>
          </w:tcPr>
          <w:p w:rsidR="00F14624" w:rsidRPr="00D25B1F" w:rsidRDefault="00545DAA" w:rsidP="00D26134">
            <w:pPr>
              <w:spacing w:line="36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25B1F">
              <w:rPr>
                <w:rFonts w:ascii="Comic Sans MS" w:hAnsi="Comic Sans MS"/>
                <w:b/>
                <w:bCs/>
                <w:sz w:val="20"/>
                <w:szCs w:val="20"/>
              </w:rPr>
              <w:t>Tests for ions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5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pct5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pct5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4624" w:rsidRPr="00D25B1F" w:rsidTr="00F14624">
        <w:tc>
          <w:tcPr>
            <w:tcW w:w="8222" w:type="dxa"/>
            <w:shd w:val="clear" w:color="auto" w:fill="auto"/>
          </w:tcPr>
          <w:p w:rsidR="00F14624" w:rsidRPr="00D25B1F" w:rsidRDefault="00EA562C" w:rsidP="0054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describe how to carry 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out a flame test using nichrome 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wire and concentrate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d hydrochloric acid to identify 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metal ions;</w:t>
            </w:r>
          </w:p>
        </w:tc>
        <w:tc>
          <w:tcPr>
            <w:tcW w:w="851" w:type="dxa"/>
            <w:shd w:val="clear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14624" w:rsidRPr="00D25B1F" w:rsidRDefault="00F14624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DAA" w:rsidRPr="00D25B1F" w:rsidTr="00F14624">
        <w:tc>
          <w:tcPr>
            <w:tcW w:w="8222" w:type="dxa"/>
            <w:shd w:val="clear" w:color="auto" w:fill="auto"/>
          </w:tcPr>
          <w:p w:rsidR="00545DAA" w:rsidRPr="00D25B1F" w:rsidRDefault="00EA562C" w:rsidP="00545DAA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>recall</w:t>
            </w:r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 xml:space="preserve"> the flame colours of different metal </w:t>
            </w:r>
            <w:proofErr w:type="gramStart"/>
            <w:r w:rsidR="00545DAA" w:rsidRPr="00D25B1F">
              <w:rPr>
                <w:rFonts w:ascii="Comic Sans MS" w:eastAsiaTheme="minorHAnsi" w:hAnsi="Comic Sans MS" w:cs="Calibri"/>
                <w:sz w:val="20"/>
                <w:szCs w:val="20"/>
              </w:rPr>
              <w:t>ions:</w:t>
            </w:r>
            <w:proofErr w:type="gramEnd"/>
          </w:p>
          <w:p w:rsidR="00545DAA" w:rsidRPr="00D25B1F" w:rsidRDefault="00545DAA" w:rsidP="00545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sz w:val="20"/>
                <w:szCs w:val="20"/>
              </w:rPr>
              <w:t>lithium (crimson);</w:t>
            </w:r>
          </w:p>
          <w:p w:rsidR="00545DAA" w:rsidRPr="00D25B1F" w:rsidRDefault="00545DAA" w:rsidP="00545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sz w:val="20"/>
                <w:szCs w:val="20"/>
              </w:rPr>
              <w:t>sodium (yellow/orange);</w:t>
            </w:r>
          </w:p>
          <w:p w:rsidR="00545DAA" w:rsidRPr="00D25B1F" w:rsidRDefault="00545DAA" w:rsidP="00545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sz w:val="20"/>
                <w:szCs w:val="20"/>
              </w:rPr>
              <w:t>potassium (lilac);</w:t>
            </w:r>
          </w:p>
          <w:p w:rsidR="00545DAA" w:rsidRPr="00D25B1F" w:rsidRDefault="00545DAA" w:rsidP="00545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sz w:val="20"/>
                <w:szCs w:val="20"/>
              </w:rPr>
              <w:t>calcium (brick red); and</w:t>
            </w:r>
          </w:p>
          <w:p w:rsidR="00545DAA" w:rsidRPr="00D25B1F" w:rsidRDefault="00545DAA" w:rsidP="00545D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sz w:val="20"/>
                <w:szCs w:val="20"/>
              </w:rPr>
              <w:t>copper(II) (blue–green/green–blue); and</w:t>
            </w:r>
          </w:p>
        </w:tc>
        <w:tc>
          <w:tcPr>
            <w:tcW w:w="851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5DAA" w:rsidRPr="00D25B1F" w:rsidTr="00F14624">
        <w:tc>
          <w:tcPr>
            <w:tcW w:w="8222" w:type="dxa"/>
            <w:shd w:val="clear" w:color="auto" w:fill="auto"/>
          </w:tcPr>
          <w:p w:rsidR="00D25B1F" w:rsidRPr="00D25B1F" w:rsidRDefault="00EA562C" w:rsidP="00D25B1F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Can you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describe how to </w:t>
            </w:r>
            <w:bookmarkStart w:id="0" w:name="_GoBack"/>
            <w:bookmarkEnd w:id="0"/>
            <w:r w:rsidR="00D25B1F" w:rsidRPr="00D25B1F">
              <w:rPr>
                <w:rFonts w:ascii="Comic Sans MS" w:eastAsiaTheme="minorHAnsi" w:hAnsi="Comic Sans MS" w:cs="Calibri"/>
                <w:i/>
                <w:iCs/>
                <w:sz w:val="20"/>
                <w:szCs w:val="20"/>
              </w:rPr>
              <w:t>identify the ions in an ionic compound using flame tests</w:t>
            </w:r>
          </w:p>
          <w:p w:rsidR="00545DAA" w:rsidRPr="00D25B1F" w:rsidRDefault="00D25B1F" w:rsidP="00D25B1F">
            <w:p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Theme="minorHAnsi" w:hAnsi="Comic Sans MS" w:cs="Calibri"/>
                <w:sz w:val="20"/>
                <w:szCs w:val="20"/>
              </w:rPr>
            </w:pPr>
            <w:r w:rsidRPr="00D25B1F">
              <w:rPr>
                <w:rFonts w:ascii="Comic Sans MS" w:eastAsiaTheme="minorHAnsi" w:hAnsi="Comic Sans MS" w:cs="Calibri"/>
                <w:i/>
                <w:iCs/>
                <w:sz w:val="20"/>
                <w:szCs w:val="20"/>
              </w:rPr>
              <w:t>(</w:t>
            </w:r>
            <w:r w:rsidRPr="00D25B1F">
              <w:rPr>
                <w:rFonts w:ascii="Comic Sans MS" w:eastAsiaTheme="minorHAnsi" w:hAnsi="Comic Sans MS" w:cs="Calibri"/>
                <w:b/>
                <w:i/>
                <w:iCs/>
                <w:sz w:val="20"/>
                <w:szCs w:val="20"/>
              </w:rPr>
              <w:t>Prescribed Practical C2</w:t>
            </w:r>
            <w:r w:rsidRPr="00D25B1F">
              <w:rPr>
                <w:rFonts w:ascii="Comic Sans MS" w:eastAsiaTheme="minorHAnsi" w:hAnsi="Comic Sans MS" w:cs="Calibr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45DAA" w:rsidRPr="00D25B1F" w:rsidRDefault="00545DAA" w:rsidP="00D26134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033F" w:rsidRDefault="00E2033F"/>
    <w:p w:rsidR="00AB7B45" w:rsidRDefault="00AB7B45"/>
    <w:sectPr w:rsidR="00AB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175"/>
    <w:multiLevelType w:val="hybridMultilevel"/>
    <w:tmpl w:val="2970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D88"/>
    <w:multiLevelType w:val="hybridMultilevel"/>
    <w:tmpl w:val="7B668FF2"/>
    <w:lvl w:ilvl="0" w:tplc="D9DEAF9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F6F"/>
    <w:multiLevelType w:val="hybridMultilevel"/>
    <w:tmpl w:val="0D1E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45"/>
    <w:rsid w:val="00314659"/>
    <w:rsid w:val="00321EEB"/>
    <w:rsid w:val="003324D9"/>
    <w:rsid w:val="00337752"/>
    <w:rsid w:val="00376BDD"/>
    <w:rsid w:val="003830EA"/>
    <w:rsid w:val="003C52B0"/>
    <w:rsid w:val="003E785C"/>
    <w:rsid w:val="0046131A"/>
    <w:rsid w:val="004B0A6E"/>
    <w:rsid w:val="00545DAA"/>
    <w:rsid w:val="0056513A"/>
    <w:rsid w:val="005B2C62"/>
    <w:rsid w:val="00871E4E"/>
    <w:rsid w:val="009A6649"/>
    <w:rsid w:val="009B6258"/>
    <w:rsid w:val="00AB7B45"/>
    <w:rsid w:val="00B46DE5"/>
    <w:rsid w:val="00BB3728"/>
    <w:rsid w:val="00D25B1F"/>
    <w:rsid w:val="00D26134"/>
    <w:rsid w:val="00DA2EBF"/>
    <w:rsid w:val="00E05B40"/>
    <w:rsid w:val="00E16D03"/>
    <w:rsid w:val="00E2033F"/>
    <w:rsid w:val="00EA562C"/>
    <w:rsid w:val="00F14624"/>
    <w:rsid w:val="00F75DA9"/>
    <w:rsid w:val="00F8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E961"/>
  <w15:docId w15:val="{69AC7BF5-73F2-4849-8131-EE7B146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CA39EB29</Template>
  <TotalTime>19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RICHARDSON</dc:creator>
  <cp:lastModifiedBy>A RICHARDSON</cp:lastModifiedBy>
  <cp:revision>6</cp:revision>
  <cp:lastPrinted>2017-06-26T10:48:00Z</cp:lastPrinted>
  <dcterms:created xsi:type="dcterms:W3CDTF">2017-06-29T14:07:00Z</dcterms:created>
  <dcterms:modified xsi:type="dcterms:W3CDTF">2017-06-30T11:24:00Z</dcterms:modified>
</cp:coreProperties>
</file>